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9C30" w14:textId="77777777" w:rsidR="00725634" w:rsidRPr="00725634" w:rsidRDefault="00725634" w:rsidP="00725634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tbl>
      <w:tblPr>
        <w:tblW w:w="0" w:type="auto"/>
        <w:tblInd w:w="1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438"/>
        <w:gridCol w:w="4054"/>
      </w:tblGrid>
      <w:tr w:rsidR="00725634" w:rsidRPr="00725634" w14:paraId="534B7C90" w14:textId="77777777" w:rsidTr="00725634">
        <w:trPr>
          <w:trHeight w:val="10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CC7B" w14:textId="77777777" w:rsidR="00725634" w:rsidRPr="00725634" w:rsidRDefault="00725634" w:rsidP="0072563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725634">
              <w:rPr>
                <w:rFonts w:asci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0FD17167" wp14:editId="70F82C72">
                  <wp:simplePos x="0" y="0"/>
                  <wp:positionH relativeFrom="column">
                    <wp:posOffset>-1543685</wp:posOffset>
                  </wp:positionH>
                  <wp:positionV relativeFrom="paragraph">
                    <wp:posOffset>-537210</wp:posOffset>
                  </wp:positionV>
                  <wp:extent cx="1676400" cy="1952625"/>
                  <wp:effectExtent l="0" t="0" r="0" b="0"/>
                  <wp:wrapNone/>
                  <wp:docPr id="2" name="Picture 2" descr="https://lh5.googleusercontent.com/l6k_qTpM2J1PJpUuEP7lnah_8Zr5a1iod1su4jw9iliRN-W3FExpPrVz9-gcG1XC7Nz_JPYWFdVchtfh6V-TVJJzJ28Oej0_nNTMFqPMS2dums-TAP5S9P57d9EKx56GY0LN8D8Ap9ux6KE6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l6k_qTpM2J1PJpUuEP7lnah_8Zr5a1iod1su4jw9iliRN-W3FExpPrVz9-gcG1XC7Nz_JPYWFdVchtfh6V-TVJJzJ28Oej0_nNTMFqPMS2dums-TAP5S9P57d9EKx56GY0LN8D8Ap9ux6KE6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6C03" w14:textId="77777777" w:rsidR="00725634" w:rsidRPr="00725634" w:rsidRDefault="00725634" w:rsidP="0072563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725634">
              <w:rPr>
                <w:rFonts w:hAnsi="Calibri" w:cs="Calibri"/>
                <w:b/>
                <w:bCs/>
                <w:color w:val="000000"/>
                <w:sz w:val="28"/>
                <w:szCs w:val="28"/>
              </w:rPr>
              <w:t>Royal School District</w:t>
            </w:r>
          </w:p>
          <w:p w14:paraId="3D95AD6B" w14:textId="77777777" w:rsidR="00725634" w:rsidRPr="00725634" w:rsidRDefault="00725634" w:rsidP="0072563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725634">
              <w:rPr>
                <w:rFonts w:hAnsi="Calibri" w:cs="Calibri"/>
                <w:b/>
                <w:bCs/>
                <w:color w:val="000000"/>
                <w:sz w:val="24"/>
                <w:szCs w:val="24"/>
              </w:rPr>
              <w:t>Roger W. Trail, Superintendent</w:t>
            </w:r>
            <w:r w:rsidRPr="00725634">
              <w:rPr>
                <w:rFonts w:ascii="Lucida Sans" w:hAnsi="Lucida Sans"/>
                <w:color w:val="000000"/>
                <w:sz w:val="24"/>
                <w:szCs w:val="24"/>
              </w:rPr>
              <w:t xml:space="preserve"> </w:t>
            </w:r>
          </w:p>
          <w:p w14:paraId="322AC527" w14:textId="77777777" w:rsidR="00725634" w:rsidRPr="00725634" w:rsidRDefault="00725634" w:rsidP="0072563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14:paraId="2DDA367F" w14:textId="77777777" w:rsidR="00725634" w:rsidRPr="00725634" w:rsidRDefault="00725634" w:rsidP="0072563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725634">
              <w:rPr>
                <w:rFonts w:ascii="Lucida Sans" w:hAnsi="Lucida Sans"/>
                <w:i/>
                <w:iCs/>
                <w:color w:val="000000"/>
                <w:sz w:val="18"/>
                <w:szCs w:val="18"/>
              </w:rPr>
              <w:t>A tradition of pride and excellence</w:t>
            </w:r>
          </w:p>
          <w:p w14:paraId="27696AFF" w14:textId="77777777" w:rsidR="00725634" w:rsidRPr="00725634" w:rsidRDefault="00725634" w:rsidP="00725634">
            <w:pPr>
              <w:spacing w:after="0" w:line="240" w:lineRule="auto"/>
              <w:rPr>
                <w:rFonts w:ascii="Times New Roman"/>
                <w:sz w:val="24"/>
                <w:szCs w:val="24"/>
                <w:lang w:val="es-MX"/>
              </w:rPr>
            </w:pPr>
            <w:r w:rsidRPr="00725634">
              <w:rPr>
                <w:rFonts w:ascii="Lucida Sans" w:hAnsi="Lucida Sans"/>
                <w:i/>
                <w:iCs/>
                <w:color w:val="000000"/>
                <w:sz w:val="18"/>
                <w:szCs w:val="18"/>
                <w:lang w:val="es-MX"/>
              </w:rPr>
              <w:t>Una tradición de orgullo y excelencia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8FB5" w14:textId="77777777" w:rsidR="00725634" w:rsidRPr="00725634" w:rsidRDefault="00725634" w:rsidP="00725634">
            <w:pPr>
              <w:spacing w:after="0" w:line="240" w:lineRule="auto"/>
              <w:jc w:val="right"/>
              <w:rPr>
                <w:rFonts w:ascii="Times New Roman"/>
                <w:sz w:val="24"/>
                <w:szCs w:val="24"/>
              </w:rPr>
            </w:pPr>
            <w:r w:rsidRPr="00725634">
              <w:rPr>
                <w:rFonts w:hAnsi="Calibri" w:cs="Calibri"/>
                <w:color w:val="000000"/>
                <w:sz w:val="24"/>
                <w:szCs w:val="24"/>
              </w:rPr>
              <w:t>901 Ahlers Ave • P.O. Box 486</w:t>
            </w:r>
          </w:p>
          <w:p w14:paraId="6BA7C8C6" w14:textId="77777777" w:rsidR="00725634" w:rsidRPr="00725634" w:rsidRDefault="00725634" w:rsidP="00725634">
            <w:pPr>
              <w:spacing w:after="0" w:line="240" w:lineRule="auto"/>
              <w:jc w:val="right"/>
              <w:rPr>
                <w:rFonts w:ascii="Times New Roman"/>
                <w:sz w:val="24"/>
                <w:szCs w:val="24"/>
              </w:rPr>
            </w:pPr>
            <w:r w:rsidRPr="00725634">
              <w:rPr>
                <w:rFonts w:hAnsi="Calibri" w:cs="Calibri"/>
                <w:color w:val="000000"/>
                <w:sz w:val="24"/>
                <w:szCs w:val="24"/>
              </w:rPr>
              <w:t>Royal City, WA  99357</w:t>
            </w:r>
          </w:p>
          <w:p w14:paraId="1ECE52B6" w14:textId="77777777" w:rsidR="00725634" w:rsidRPr="00725634" w:rsidRDefault="00725634" w:rsidP="00725634">
            <w:pPr>
              <w:spacing w:after="0" w:line="240" w:lineRule="auto"/>
              <w:jc w:val="right"/>
              <w:rPr>
                <w:rFonts w:ascii="Times New Roman"/>
                <w:sz w:val="24"/>
                <w:szCs w:val="24"/>
              </w:rPr>
            </w:pPr>
            <w:r w:rsidRPr="00725634">
              <w:rPr>
                <w:rFonts w:hAnsi="Calibri" w:cs="Calibri"/>
                <w:color w:val="000000"/>
                <w:sz w:val="24"/>
                <w:szCs w:val="24"/>
              </w:rPr>
              <w:t>Phone (509) 346-2222</w:t>
            </w:r>
          </w:p>
          <w:p w14:paraId="6C47D07A" w14:textId="77777777" w:rsidR="00725634" w:rsidRPr="00725634" w:rsidRDefault="00725634" w:rsidP="00725634">
            <w:pPr>
              <w:spacing w:after="0" w:line="240" w:lineRule="auto"/>
              <w:jc w:val="right"/>
              <w:rPr>
                <w:rFonts w:ascii="Times New Roman"/>
                <w:sz w:val="24"/>
                <w:szCs w:val="24"/>
              </w:rPr>
            </w:pPr>
            <w:r w:rsidRPr="00725634">
              <w:rPr>
                <w:rFonts w:hAnsi="Calibri" w:cs="Calibri"/>
                <w:color w:val="000000"/>
                <w:sz w:val="24"/>
                <w:szCs w:val="24"/>
              </w:rPr>
              <w:t>FAX (509) 346-8746</w:t>
            </w:r>
          </w:p>
          <w:p w14:paraId="1A15D9A6" w14:textId="77777777" w:rsidR="00725634" w:rsidRPr="00725634" w:rsidRDefault="00174FD6" w:rsidP="00725634">
            <w:pPr>
              <w:spacing w:after="0" w:line="240" w:lineRule="auto"/>
              <w:jc w:val="right"/>
              <w:rPr>
                <w:rFonts w:ascii="Times New Roman"/>
                <w:sz w:val="24"/>
                <w:szCs w:val="24"/>
              </w:rPr>
            </w:pPr>
            <w:hyperlink r:id="rId8" w:history="1">
              <w:r w:rsidR="00725634" w:rsidRPr="00725634">
                <w:rPr>
                  <w:rFonts w:hAnsi="Calibri" w:cs="Calibri"/>
                  <w:color w:val="0563C1"/>
                  <w:sz w:val="24"/>
                  <w:szCs w:val="24"/>
                  <w:u w:val="single"/>
                </w:rPr>
                <w:t>http://royal.wednet.edu/</w:t>
              </w:r>
            </w:hyperlink>
          </w:p>
        </w:tc>
      </w:tr>
    </w:tbl>
    <w:p w14:paraId="11F67030" w14:textId="77777777" w:rsidR="00725634" w:rsidRPr="00725634" w:rsidRDefault="00725634" w:rsidP="00725634">
      <w:pPr>
        <w:pBdr>
          <w:bottom w:val="single" w:sz="12" w:space="0" w:color="000000"/>
        </w:pBdr>
        <w:spacing w:line="240" w:lineRule="auto"/>
        <w:rPr>
          <w:rFonts w:ascii="Times New Roman"/>
          <w:sz w:val="24"/>
          <w:szCs w:val="24"/>
        </w:rPr>
      </w:pPr>
      <w:r w:rsidRPr="00725634">
        <w:rPr>
          <w:rFonts w:ascii="Times New Roman"/>
          <w:sz w:val="24"/>
          <w:szCs w:val="24"/>
        </w:rPr>
        <w:t> </w:t>
      </w:r>
    </w:p>
    <w:p w14:paraId="363AAD0B" w14:textId="77777777" w:rsidR="00D912DD" w:rsidRDefault="00D912DD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040D3D0A" w14:textId="77777777" w:rsidR="00D912DD" w:rsidRDefault="00D912DD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14:paraId="0AEB6B66" w14:textId="77777777" w:rsidR="00D912DD" w:rsidRDefault="000B4F80">
      <w:pPr>
        <w:spacing w:after="0" w:line="240" w:lineRule="auto"/>
        <w:jc w:val="center"/>
      </w:pPr>
      <w:r>
        <w:rPr>
          <w:rFonts w:ascii="Arial" w:hAnsi="Arial"/>
          <w:b/>
          <w:sz w:val="28"/>
          <w:szCs w:val="28"/>
        </w:rPr>
        <w:t>Education of Homeless Children and Youth</w:t>
      </w:r>
    </w:p>
    <w:p w14:paraId="0483D577" w14:textId="77777777" w:rsidR="00D912DD" w:rsidRDefault="000B4F80">
      <w:pPr>
        <w:spacing w:after="0" w:line="240" w:lineRule="auto"/>
        <w:jc w:val="center"/>
      </w:pPr>
      <w:r>
        <w:rPr>
          <w:rFonts w:ascii="Arial" w:hAnsi="Arial"/>
          <w:b/>
          <w:sz w:val="28"/>
          <w:szCs w:val="28"/>
        </w:rPr>
        <w:t>District-Level Dispute Resolution Process</w:t>
      </w:r>
    </w:p>
    <w:p w14:paraId="50A0EC8E" w14:textId="77777777" w:rsidR="00D912DD" w:rsidRDefault="00D912DD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14:paraId="489FD183" w14:textId="77777777" w:rsidR="00D912DD" w:rsidRDefault="000B4F80">
      <w:pPr>
        <w:spacing w:after="0" w:line="240" w:lineRule="auto"/>
      </w:pPr>
      <w:r>
        <w:rPr>
          <w:rFonts w:ascii="Arial" w:hAnsi="Arial"/>
        </w:rPr>
        <w:t>If the District’s Homeless Education Liaison, Rebekah Roldan, denies a school selection or</w:t>
      </w:r>
    </w:p>
    <w:p w14:paraId="363564D5" w14:textId="77777777" w:rsidR="00D912DD" w:rsidRDefault="000B4F80">
      <w:pPr>
        <w:spacing w:after="0" w:line="240" w:lineRule="auto"/>
      </w:pPr>
      <w:r>
        <w:rPr>
          <w:rFonts w:ascii="Arial" w:hAnsi="Arial"/>
        </w:rPr>
        <w:t>enrollment request that is based upon the rights of a child under the McKinney-Vento</w:t>
      </w:r>
    </w:p>
    <w:p w14:paraId="396A1BD7" w14:textId="77777777" w:rsidR="00D912DD" w:rsidRDefault="000B4F80">
      <w:pPr>
        <w:spacing w:after="0" w:line="240" w:lineRule="auto"/>
      </w:pPr>
      <w:r>
        <w:rPr>
          <w:rFonts w:ascii="Arial" w:hAnsi="Arial"/>
        </w:rPr>
        <w:t>Act, the Liaison will provide to the child, parent, guardian, or other accompanying adult,</w:t>
      </w:r>
    </w:p>
    <w:p w14:paraId="36BAE67D" w14:textId="77777777" w:rsidR="00D912DD" w:rsidRDefault="000B4F80">
      <w:pPr>
        <w:spacing w:after="0" w:line="240" w:lineRule="auto"/>
      </w:pPr>
      <w:r>
        <w:rPr>
          <w:rFonts w:ascii="Arial" w:hAnsi="Arial"/>
        </w:rPr>
        <w:t>in writing, the reason for the decision and notice that the decision may be appealed to</w:t>
      </w:r>
    </w:p>
    <w:p w14:paraId="3B292C04" w14:textId="77777777" w:rsidR="00D912DD" w:rsidRDefault="000B4F80">
      <w:pPr>
        <w:spacing w:after="0" w:line="240" w:lineRule="auto"/>
      </w:pPr>
      <w:r>
        <w:rPr>
          <w:rFonts w:ascii="Arial" w:hAnsi="Arial"/>
        </w:rPr>
        <w:t>the District’s Assistant Superintendent/Programs Director, Effie J. Dean. The notice will</w:t>
      </w:r>
    </w:p>
    <w:p w14:paraId="358A70CB" w14:textId="77777777" w:rsidR="00D912DD" w:rsidRDefault="000B4F80">
      <w:pPr>
        <w:spacing w:after="0" w:line="240" w:lineRule="auto"/>
      </w:pPr>
      <w:r>
        <w:rPr>
          <w:rFonts w:ascii="Arial" w:hAnsi="Arial"/>
        </w:rPr>
        <w:t>advise the child, parent, guardian, or other accompanying adult that the child will be</w:t>
      </w:r>
    </w:p>
    <w:p w14:paraId="1B15DF56" w14:textId="77777777" w:rsidR="00D912DD" w:rsidRDefault="000B4F80">
      <w:pPr>
        <w:spacing w:after="0" w:line="240" w:lineRule="auto"/>
      </w:pPr>
      <w:r>
        <w:rPr>
          <w:rFonts w:ascii="Arial" w:hAnsi="Arial"/>
        </w:rPr>
        <w:t>immediately admitted to the school in which enrollment is sought and transportation will</w:t>
      </w:r>
    </w:p>
    <w:p w14:paraId="31259393" w14:textId="77777777" w:rsidR="00D912DD" w:rsidRDefault="000B4F80">
      <w:pPr>
        <w:spacing w:after="0" w:line="240" w:lineRule="auto"/>
      </w:pPr>
      <w:r>
        <w:rPr>
          <w:rFonts w:ascii="Arial" w:hAnsi="Arial"/>
        </w:rPr>
        <w:t>be provided, pending resolution of the appeal. (</w:t>
      </w:r>
      <w:r>
        <w:rPr>
          <w:rFonts w:ascii="Arial" w:hAnsi="Arial"/>
          <w:b/>
        </w:rPr>
        <w:t>See Form 1</w:t>
      </w:r>
      <w:r>
        <w:rPr>
          <w:rFonts w:ascii="Arial" w:hAnsi="Arial"/>
        </w:rPr>
        <w:t>).</w:t>
      </w:r>
    </w:p>
    <w:p w14:paraId="099B4420" w14:textId="77777777" w:rsidR="00D912DD" w:rsidRDefault="00D912DD">
      <w:pPr>
        <w:spacing w:after="0" w:line="240" w:lineRule="auto"/>
        <w:rPr>
          <w:rFonts w:ascii="Arial" w:hAnsi="Arial"/>
        </w:rPr>
      </w:pPr>
    </w:p>
    <w:p w14:paraId="24912B4F" w14:textId="77777777" w:rsidR="00D912DD" w:rsidRDefault="00D912DD">
      <w:pPr>
        <w:spacing w:after="0" w:line="240" w:lineRule="auto"/>
        <w:rPr>
          <w:rFonts w:ascii="Arial" w:hAnsi="Arial"/>
        </w:rPr>
      </w:pPr>
    </w:p>
    <w:p w14:paraId="70374B90" w14:textId="77777777" w:rsidR="00D912DD" w:rsidRDefault="000B4F80">
      <w:pPr>
        <w:spacing w:after="0" w:line="240" w:lineRule="auto"/>
      </w:pPr>
      <w:r>
        <w:rPr>
          <w:rFonts w:ascii="Arial" w:hAnsi="Arial"/>
        </w:rPr>
        <w:t>The child, parent, guardian, or other accompanying adult who wishes to appeal an</w:t>
      </w:r>
    </w:p>
    <w:p w14:paraId="145AD9A9" w14:textId="77777777" w:rsidR="00D912DD" w:rsidRDefault="000B4F80">
      <w:pPr>
        <w:spacing w:after="0" w:line="240" w:lineRule="auto"/>
      </w:pPr>
      <w:r>
        <w:rPr>
          <w:rFonts w:ascii="Arial" w:hAnsi="Arial"/>
        </w:rPr>
        <w:t>adverse decision must start the appeal process by submitting a request for dispute</w:t>
      </w:r>
    </w:p>
    <w:p w14:paraId="7C5CF618" w14:textId="77777777" w:rsidR="00D912DD" w:rsidRDefault="000B4F80">
      <w:pPr>
        <w:spacing w:after="0" w:line="240" w:lineRule="auto"/>
      </w:pPr>
      <w:r>
        <w:rPr>
          <w:rFonts w:ascii="Arial" w:hAnsi="Arial"/>
        </w:rPr>
        <w:t>resolution to the Director or Liaison. (</w:t>
      </w:r>
      <w:r>
        <w:rPr>
          <w:rFonts w:ascii="Arial" w:hAnsi="Arial"/>
          <w:b/>
        </w:rPr>
        <w:t>See Form 2</w:t>
      </w:r>
      <w:r>
        <w:rPr>
          <w:rFonts w:ascii="Arial" w:hAnsi="Arial"/>
        </w:rPr>
        <w:t xml:space="preserve">). </w:t>
      </w:r>
    </w:p>
    <w:p w14:paraId="1559DE6C" w14:textId="77777777" w:rsidR="00D912DD" w:rsidRDefault="00D912DD">
      <w:pPr>
        <w:spacing w:after="0" w:line="240" w:lineRule="auto"/>
        <w:rPr>
          <w:rFonts w:ascii="Arial" w:hAnsi="Arial"/>
        </w:rPr>
      </w:pPr>
    </w:p>
    <w:p w14:paraId="33B697B2" w14:textId="77777777" w:rsidR="00D912DD" w:rsidRDefault="00D912DD">
      <w:pPr>
        <w:spacing w:after="0" w:line="240" w:lineRule="auto"/>
        <w:rPr>
          <w:rFonts w:ascii="Arial" w:hAnsi="Arial"/>
        </w:rPr>
      </w:pPr>
    </w:p>
    <w:p w14:paraId="7EE665EC" w14:textId="77777777" w:rsidR="00D912DD" w:rsidRDefault="000B4F80">
      <w:pPr>
        <w:spacing w:after="0" w:line="240" w:lineRule="auto"/>
      </w:pPr>
      <w:r>
        <w:rPr>
          <w:rFonts w:ascii="Arial" w:hAnsi="Arial"/>
        </w:rPr>
        <w:t>Upon submission of a request for dispute resolution, the Director will:</w:t>
      </w:r>
    </w:p>
    <w:p w14:paraId="67E0FBE7" w14:textId="77777777" w:rsidR="00D912DD" w:rsidRDefault="00D912DD">
      <w:pPr>
        <w:spacing w:after="0" w:line="240" w:lineRule="auto"/>
        <w:rPr>
          <w:rFonts w:ascii="Arial" w:hAnsi="Arial"/>
        </w:rPr>
      </w:pPr>
    </w:p>
    <w:p w14:paraId="3D2CBFC9" w14:textId="77777777" w:rsidR="00D912DD" w:rsidRDefault="000B4F8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" w:hAnsi="Arial"/>
        </w:rPr>
        <w:t xml:space="preserve">Confirm that the child has received the opportunity to immediately enroll in the District </w:t>
      </w:r>
    </w:p>
    <w:p w14:paraId="78C646F3" w14:textId="77777777" w:rsidR="00D912DD" w:rsidRDefault="000B4F80">
      <w:pPr>
        <w:pStyle w:val="ListParagraph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School in which enrollment is sought, pending resolution of the appeal</w:t>
      </w:r>
    </w:p>
    <w:p w14:paraId="699CDCAC" w14:textId="77777777" w:rsidR="00D912DD" w:rsidRDefault="000B4F80">
      <w:pPr>
        <w:spacing w:after="0" w:line="240" w:lineRule="auto"/>
      </w:pPr>
      <w:r>
        <w:rPr>
          <w:rFonts w:ascii="Arial" w:hAnsi="Arial"/>
        </w:rPr>
        <w:t xml:space="preserve">            And</w:t>
      </w:r>
    </w:p>
    <w:p w14:paraId="41CAB130" w14:textId="77777777" w:rsidR="00D912DD" w:rsidRDefault="000B4F8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" w:hAnsi="Arial"/>
        </w:rPr>
        <w:t xml:space="preserve">Expeditiously resolve the appeal according to the following Dispute Resolution    </w:t>
      </w:r>
    </w:p>
    <w:p w14:paraId="17FC5E33" w14:textId="77777777" w:rsidR="00D912DD" w:rsidRDefault="000B4F80">
      <w:pPr>
        <w:pStyle w:val="ListParagraph"/>
        <w:spacing w:after="0" w:line="240" w:lineRule="auto"/>
      </w:pPr>
      <w:r>
        <w:rPr>
          <w:rFonts w:ascii="Arial" w:hAnsi="Arial"/>
        </w:rPr>
        <w:t xml:space="preserve">Procedures: </w:t>
      </w:r>
    </w:p>
    <w:p w14:paraId="47B6833F" w14:textId="77777777" w:rsidR="00D912DD" w:rsidRDefault="000B4F80">
      <w:pPr>
        <w:spacing w:after="0" w:line="240" w:lineRule="auto"/>
        <w:ind w:left="720"/>
      </w:pPr>
      <w:r>
        <w:rPr>
          <w:rFonts w:ascii="Arial" w:hAnsi="Arial"/>
        </w:rPr>
        <w:t>A. The Director will set up an appointment with the Liaison and</w:t>
      </w:r>
    </w:p>
    <w:p w14:paraId="3FD5F4FC" w14:textId="77777777" w:rsidR="00D912DD" w:rsidRDefault="000B4F80">
      <w:pPr>
        <w:spacing w:after="0" w:line="240" w:lineRule="auto"/>
        <w:ind w:left="720"/>
      </w:pPr>
      <w:r>
        <w:rPr>
          <w:rFonts w:ascii="Arial" w:hAnsi="Arial"/>
        </w:rPr>
        <w:t>the person initiating the dispute within five working days of</w:t>
      </w:r>
    </w:p>
    <w:p w14:paraId="0E242D02" w14:textId="77777777" w:rsidR="00D912DD" w:rsidRDefault="000B4F80">
      <w:pPr>
        <w:spacing w:after="0" w:line="240" w:lineRule="auto"/>
        <w:ind w:left="720"/>
      </w:pPr>
      <w:r>
        <w:rPr>
          <w:rFonts w:ascii="Arial" w:hAnsi="Arial"/>
        </w:rPr>
        <w:t>receiving notice of the dispute. The Director will listen to the</w:t>
      </w:r>
    </w:p>
    <w:p w14:paraId="1CDF67D1" w14:textId="77777777" w:rsidR="00D912DD" w:rsidRDefault="000B4F80">
      <w:pPr>
        <w:spacing w:after="0" w:line="240" w:lineRule="auto"/>
        <w:ind w:left="720"/>
      </w:pPr>
      <w:r>
        <w:rPr>
          <w:rFonts w:ascii="Arial" w:hAnsi="Arial"/>
        </w:rPr>
        <w:t>person’s account of the problem, review information from the</w:t>
      </w:r>
    </w:p>
    <w:p w14:paraId="419E7858" w14:textId="77777777" w:rsidR="00D912DD" w:rsidRDefault="000B4F80">
      <w:pPr>
        <w:spacing w:after="0" w:line="240" w:lineRule="auto"/>
        <w:ind w:left="720"/>
      </w:pPr>
      <w:r>
        <w:rPr>
          <w:rFonts w:ascii="Arial" w:hAnsi="Arial"/>
        </w:rPr>
        <w:t>Liaison, and consider the law and what factors impact the best</w:t>
      </w:r>
    </w:p>
    <w:p w14:paraId="777BA361" w14:textId="77777777" w:rsidR="00D912DD" w:rsidRDefault="000B4F80">
      <w:pPr>
        <w:spacing w:after="0" w:line="240" w:lineRule="auto"/>
        <w:ind w:left="720"/>
      </w:pPr>
      <w:r>
        <w:rPr>
          <w:rFonts w:ascii="Arial" w:hAnsi="Arial"/>
        </w:rPr>
        <w:t>interest of the child.</w:t>
      </w:r>
    </w:p>
    <w:p w14:paraId="5D37B127" w14:textId="77777777" w:rsidR="00D912DD" w:rsidRDefault="000B4F80">
      <w:pPr>
        <w:spacing w:after="0" w:line="240" w:lineRule="auto"/>
        <w:ind w:left="720"/>
      </w:pPr>
      <w:r>
        <w:rPr>
          <w:rFonts w:ascii="Arial" w:hAnsi="Arial"/>
        </w:rPr>
        <w:t>B. The Director will provide within five working days:</w:t>
      </w:r>
    </w:p>
    <w:p w14:paraId="3C941B2E" w14:textId="77777777" w:rsidR="00D912DD" w:rsidRDefault="000B4F80">
      <w:pPr>
        <w:spacing w:after="0" w:line="240" w:lineRule="auto"/>
        <w:ind w:left="720"/>
      </w:pP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>) A written explanation of the decision regarding school</w:t>
      </w:r>
    </w:p>
    <w:p w14:paraId="18E390C6" w14:textId="77777777" w:rsidR="00D912DD" w:rsidRDefault="000B4F80">
      <w:pPr>
        <w:spacing w:after="0" w:line="240" w:lineRule="auto"/>
        <w:ind w:left="720"/>
      </w:pPr>
      <w:r>
        <w:rPr>
          <w:rFonts w:ascii="Arial" w:hAnsi="Arial"/>
        </w:rPr>
        <w:t xml:space="preserve">selection or enrollment; and </w:t>
      </w:r>
    </w:p>
    <w:p w14:paraId="6D35C655" w14:textId="77777777" w:rsidR="00D912DD" w:rsidRDefault="000B4F80">
      <w:pPr>
        <w:spacing w:after="0" w:line="240" w:lineRule="auto"/>
        <w:ind w:left="720"/>
      </w:pPr>
      <w:r>
        <w:rPr>
          <w:rFonts w:ascii="Arial" w:hAnsi="Arial"/>
        </w:rPr>
        <w:t>ii) Notice of the right to appeal the Director’s decision to the State Homeless Education Coordinator and the form with which to initiate such appeal. (</w:t>
      </w:r>
      <w:r>
        <w:rPr>
          <w:rFonts w:ascii="Arial" w:hAnsi="Arial"/>
          <w:b/>
        </w:rPr>
        <w:t>See Form 3</w:t>
      </w:r>
      <w:r>
        <w:rPr>
          <w:rFonts w:ascii="Arial" w:hAnsi="Arial"/>
        </w:rPr>
        <w:t>)</w:t>
      </w:r>
    </w:p>
    <w:p w14:paraId="430692E1" w14:textId="77777777" w:rsidR="00D912DD" w:rsidRDefault="000B4F80">
      <w:pPr>
        <w:spacing w:after="0" w:line="240" w:lineRule="auto"/>
        <w:ind w:left="720"/>
      </w:pPr>
      <w:r>
        <w:rPr>
          <w:rFonts w:ascii="Arial" w:hAnsi="Arial"/>
          <w:sz w:val="20"/>
          <w:szCs w:val="20"/>
        </w:rPr>
        <w:t>Reference: MPS Governing Board Policy JC-R-VII</w:t>
      </w:r>
    </w:p>
    <w:p w14:paraId="6E3DA012" w14:textId="77777777" w:rsidR="00D912DD" w:rsidRDefault="000B4F80">
      <w:pPr>
        <w:spacing w:after="0" w:line="240" w:lineRule="auto"/>
        <w:ind w:left="720"/>
      </w:pPr>
      <w:r>
        <w:rPr>
          <w:rFonts w:ascii="Arial" w:hAnsi="Arial"/>
          <w:sz w:val="20"/>
          <w:szCs w:val="20"/>
        </w:rPr>
        <w:t>McKinney-Vento Act Sec. 722 (g); 42 U.S.C. 11432 (g)</w:t>
      </w:r>
    </w:p>
    <w:p w14:paraId="2FFCC9AB" w14:textId="0F0BB83A" w:rsidR="00D912DD" w:rsidRPr="003C3BF9" w:rsidRDefault="000B4F80" w:rsidP="003C3BF9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JC-R-</w:t>
      </w:r>
      <w:proofErr w:type="gramStart"/>
      <w:r>
        <w:rPr>
          <w:rFonts w:ascii="Arial" w:hAnsi="Arial"/>
          <w:sz w:val="20"/>
          <w:szCs w:val="20"/>
        </w:rPr>
        <w:t>F(</w:t>
      </w:r>
      <w:proofErr w:type="gramEnd"/>
      <w:r>
        <w:rPr>
          <w:rFonts w:ascii="Arial" w:hAnsi="Arial"/>
          <w:sz w:val="20"/>
          <w:szCs w:val="20"/>
        </w:rPr>
        <w:t>11) (Revised 07/01/07)</w:t>
      </w:r>
      <w:bookmarkStart w:id="0" w:name="_GoBack"/>
      <w:bookmarkEnd w:id="0"/>
    </w:p>
    <w:sectPr w:rsidR="00D912DD" w:rsidRPr="003C3BF9" w:rsidSect="00725634">
      <w:footerReference w:type="default" r:id="rId9"/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5D32" w14:textId="77777777" w:rsidR="00174FD6" w:rsidRDefault="00174FD6" w:rsidP="00725634">
      <w:pPr>
        <w:spacing w:after="0" w:line="240" w:lineRule="auto"/>
      </w:pPr>
      <w:r>
        <w:separator/>
      </w:r>
    </w:p>
  </w:endnote>
  <w:endnote w:type="continuationSeparator" w:id="0">
    <w:p w14:paraId="52D046E2" w14:textId="77777777" w:rsidR="00174FD6" w:rsidRDefault="00174FD6" w:rsidP="0072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01FB" w14:textId="77777777" w:rsidR="00725634" w:rsidRDefault="00725634" w:rsidP="00725634">
    <w:pPr>
      <w:pStyle w:val="NormalWeb"/>
      <w:spacing w:before="0" w:beforeAutospacing="0" w:after="720" w:afterAutospacing="0"/>
      <w:jc w:val="center"/>
    </w:pPr>
    <w:r>
      <w:rPr>
        <w:rFonts w:ascii="Calibri" w:hAnsi="Calibri" w:cs="Calibri"/>
        <w:b/>
        <w:bCs/>
        <w:color w:val="000000"/>
        <w:sz w:val="22"/>
        <w:szCs w:val="22"/>
      </w:rPr>
      <w:t xml:space="preserve">Board of Directors:  Justin Brown, Dan Miller, Craig Janett, Michael </w:t>
    </w:r>
    <w:proofErr w:type="spellStart"/>
    <w:r>
      <w:rPr>
        <w:rFonts w:ascii="Calibri" w:hAnsi="Calibri" w:cs="Calibri"/>
        <w:b/>
        <w:bCs/>
        <w:color w:val="000000"/>
        <w:sz w:val="22"/>
        <w:szCs w:val="22"/>
      </w:rPr>
      <w:t>Noftle</w:t>
    </w:r>
    <w:proofErr w:type="spellEnd"/>
    <w:r>
      <w:rPr>
        <w:rFonts w:ascii="Calibri" w:hAnsi="Calibri" w:cs="Calibri"/>
        <w:b/>
        <w:bCs/>
        <w:color w:val="000000"/>
        <w:sz w:val="22"/>
        <w:szCs w:val="22"/>
      </w:rPr>
      <w:t>, Warren Small</w:t>
    </w:r>
  </w:p>
  <w:p w14:paraId="3153D4C6" w14:textId="77777777" w:rsidR="00725634" w:rsidRDefault="00725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20B9" w14:textId="77777777" w:rsidR="00174FD6" w:rsidRDefault="00174FD6" w:rsidP="00725634">
      <w:pPr>
        <w:spacing w:after="0" w:line="240" w:lineRule="auto"/>
      </w:pPr>
      <w:r>
        <w:separator/>
      </w:r>
    </w:p>
  </w:footnote>
  <w:footnote w:type="continuationSeparator" w:id="0">
    <w:p w14:paraId="77EDF536" w14:textId="77777777" w:rsidR="00174FD6" w:rsidRDefault="00174FD6" w:rsidP="0072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168"/>
    <w:multiLevelType w:val="hybridMultilevel"/>
    <w:tmpl w:val="2BCC8306"/>
    <w:lvl w:ilvl="0" w:tplc="0F963FD4">
      <w:start w:val="1"/>
      <w:numFmt w:val="decimal"/>
      <w:lvlText w:val="%1."/>
      <w:lvlJc w:val="left"/>
      <w:pPr>
        <w:ind w:left="720" w:hanging="360"/>
      </w:pPr>
    </w:lvl>
    <w:lvl w:ilvl="1" w:tplc="1ECA8A98">
      <w:start w:val="1"/>
      <w:numFmt w:val="lowerLetter"/>
      <w:lvlText w:val="%2."/>
      <w:lvlJc w:val="left"/>
      <w:pPr>
        <w:ind w:left="1440" w:hanging="360"/>
      </w:pPr>
    </w:lvl>
    <w:lvl w:ilvl="2" w:tplc="7772EBA0">
      <w:start w:val="1"/>
      <w:numFmt w:val="lowerRoman"/>
      <w:lvlText w:val="%3."/>
      <w:lvlJc w:val="right"/>
      <w:pPr>
        <w:ind w:left="2160" w:hanging="180"/>
      </w:pPr>
    </w:lvl>
    <w:lvl w:ilvl="3" w:tplc="E4762B34">
      <w:start w:val="1"/>
      <w:numFmt w:val="decimal"/>
      <w:lvlText w:val="%4."/>
      <w:lvlJc w:val="left"/>
      <w:pPr>
        <w:ind w:left="2880" w:hanging="360"/>
      </w:pPr>
    </w:lvl>
    <w:lvl w:ilvl="4" w:tplc="AE242110">
      <w:start w:val="1"/>
      <w:numFmt w:val="lowerLetter"/>
      <w:lvlText w:val="%5."/>
      <w:lvlJc w:val="left"/>
      <w:pPr>
        <w:ind w:left="3600" w:hanging="360"/>
      </w:pPr>
    </w:lvl>
    <w:lvl w:ilvl="5" w:tplc="D562AC60">
      <w:start w:val="1"/>
      <w:numFmt w:val="lowerRoman"/>
      <w:lvlText w:val="%6."/>
      <w:lvlJc w:val="right"/>
      <w:pPr>
        <w:ind w:left="4320" w:hanging="180"/>
      </w:pPr>
    </w:lvl>
    <w:lvl w:ilvl="6" w:tplc="91666C46">
      <w:start w:val="1"/>
      <w:numFmt w:val="decimal"/>
      <w:lvlText w:val="%7."/>
      <w:lvlJc w:val="left"/>
      <w:pPr>
        <w:ind w:left="5040" w:hanging="360"/>
      </w:pPr>
    </w:lvl>
    <w:lvl w:ilvl="7" w:tplc="4D0C52F6">
      <w:start w:val="1"/>
      <w:numFmt w:val="lowerLetter"/>
      <w:lvlText w:val="%8."/>
      <w:lvlJc w:val="left"/>
      <w:pPr>
        <w:ind w:left="5760" w:hanging="360"/>
      </w:pPr>
    </w:lvl>
    <w:lvl w:ilvl="8" w:tplc="0256E7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035"/>
    <w:multiLevelType w:val="hybridMultilevel"/>
    <w:tmpl w:val="0338B782"/>
    <w:lvl w:ilvl="0" w:tplc="7884BE72">
      <w:start w:val="1"/>
      <w:numFmt w:val="decimal"/>
      <w:lvlText w:val="%1."/>
      <w:lvlJc w:val="left"/>
      <w:pPr>
        <w:ind w:left="720" w:hanging="360"/>
      </w:pPr>
    </w:lvl>
    <w:lvl w:ilvl="1" w:tplc="C21AF9FC">
      <w:start w:val="1"/>
      <w:numFmt w:val="decimal"/>
      <w:lvlText w:val="%2."/>
      <w:lvlJc w:val="left"/>
      <w:pPr>
        <w:ind w:left="1440" w:hanging="1080"/>
      </w:pPr>
    </w:lvl>
    <w:lvl w:ilvl="2" w:tplc="F7924620">
      <w:start w:val="1"/>
      <w:numFmt w:val="decimal"/>
      <w:lvlText w:val="%3."/>
      <w:lvlJc w:val="left"/>
      <w:pPr>
        <w:ind w:left="2160" w:hanging="1980"/>
      </w:pPr>
    </w:lvl>
    <w:lvl w:ilvl="3" w:tplc="A6326306">
      <w:start w:val="1"/>
      <w:numFmt w:val="decimal"/>
      <w:lvlText w:val="%4."/>
      <w:lvlJc w:val="left"/>
      <w:pPr>
        <w:ind w:left="2880" w:hanging="2520"/>
      </w:pPr>
    </w:lvl>
    <w:lvl w:ilvl="4" w:tplc="76C4C3B0">
      <w:start w:val="1"/>
      <w:numFmt w:val="decimal"/>
      <w:lvlText w:val="%5."/>
      <w:lvlJc w:val="left"/>
      <w:pPr>
        <w:ind w:left="3600" w:hanging="3240"/>
      </w:pPr>
    </w:lvl>
    <w:lvl w:ilvl="5" w:tplc="CB680590">
      <w:start w:val="1"/>
      <w:numFmt w:val="decimal"/>
      <w:lvlText w:val="%6."/>
      <w:lvlJc w:val="left"/>
      <w:pPr>
        <w:ind w:left="4320" w:hanging="4140"/>
      </w:pPr>
    </w:lvl>
    <w:lvl w:ilvl="6" w:tplc="C60AEE7C">
      <w:start w:val="1"/>
      <w:numFmt w:val="decimal"/>
      <w:lvlText w:val="%7."/>
      <w:lvlJc w:val="left"/>
      <w:pPr>
        <w:ind w:left="5040" w:hanging="4680"/>
      </w:pPr>
    </w:lvl>
    <w:lvl w:ilvl="7" w:tplc="BFCA23F6">
      <w:start w:val="1"/>
      <w:numFmt w:val="decimal"/>
      <w:lvlText w:val="%8."/>
      <w:lvlJc w:val="left"/>
      <w:pPr>
        <w:ind w:left="5760" w:hanging="5400"/>
      </w:pPr>
    </w:lvl>
    <w:lvl w:ilvl="8" w:tplc="072EF046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19586DFF"/>
    <w:multiLevelType w:val="hybridMultilevel"/>
    <w:tmpl w:val="4942F6E4"/>
    <w:lvl w:ilvl="0" w:tplc="247E5D0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36DB8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11846C8">
      <w:numFmt w:val="bullet"/>
      <w:lvlText w:val=""/>
      <w:lvlJc w:val="left"/>
      <w:pPr>
        <w:ind w:left="2160" w:hanging="1800"/>
      </w:pPr>
    </w:lvl>
    <w:lvl w:ilvl="3" w:tplc="DCF8C5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946D78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2BE4080">
      <w:numFmt w:val="bullet"/>
      <w:lvlText w:val=""/>
      <w:lvlJc w:val="left"/>
      <w:pPr>
        <w:ind w:left="4320" w:hanging="3960"/>
      </w:pPr>
    </w:lvl>
    <w:lvl w:ilvl="6" w:tplc="DBB07E7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690017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F3CD552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DD"/>
    <w:rsid w:val="000B4F80"/>
    <w:rsid w:val="00174FD6"/>
    <w:rsid w:val="003C3BF9"/>
    <w:rsid w:val="00725634"/>
    <w:rsid w:val="00D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1B27"/>
  <w15:docId w15:val="{53AD1E09-CD3A-4122-9E3E-4F7CA2B7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NormalWeb">
    <w:name w:val="Normal (Web)"/>
    <w:basedOn w:val="Normal"/>
    <w:uiPriority w:val="99"/>
    <w:semiHidden/>
    <w:unhideWhenUsed/>
    <w:rsid w:val="00725634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56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834">
          <w:marLeft w:val="-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yal.wednet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YearoutRealName:</cp:lastModifiedBy>
  <cp:revision>5</cp:revision>
  <cp:lastPrinted>2019-04-19T17:48:00Z</cp:lastPrinted>
  <dcterms:created xsi:type="dcterms:W3CDTF">2007-04-30T19:01:00Z</dcterms:created>
  <dcterms:modified xsi:type="dcterms:W3CDTF">2019-04-19T19:57:00Z</dcterms:modified>
</cp:coreProperties>
</file>